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Cardiovascular Disorders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1-Acute rheumatic fever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1-Acute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rheumatic fever remains an important preventable cause of cardiac disease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(1)</w:t>
      </w:r>
      <w:r w:rsidDel="00000000" w:rsidR="00000000" w:rsidRPr="00000000">
        <w:rPr>
          <w:sz w:val="28"/>
          <w:szCs w:val="28"/>
          <w:rtl w:val="0"/>
        </w:rPr>
        <w:t xml:space="preserve">. Acute rheumatic fever </w:t>
      </w:r>
      <w:r w:rsidDel="00000000" w:rsidR="00000000" w:rsidRPr="00000000">
        <w:rPr>
          <w:b w:val="1"/>
          <w:sz w:val="28"/>
          <w:szCs w:val="28"/>
          <w:rtl w:val="0"/>
        </w:rPr>
        <w:t xml:space="preserve">usually affects children</w:t>
      </w:r>
      <w:r w:rsidDel="00000000" w:rsidR="00000000" w:rsidRPr="00000000">
        <w:rPr>
          <w:sz w:val="28"/>
          <w:szCs w:val="28"/>
          <w:rtl w:val="0"/>
        </w:rPr>
        <w:t xml:space="preserve"> (most commonly between 5 and 15 years) or young adults.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276"/>
        </w:tabs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2-The condition is triggered by </w:t>
      </w:r>
      <w:r w:rsidDel="00000000" w:rsidR="00000000" w:rsidRPr="00000000">
        <w:rPr>
          <w:b w:val="1"/>
          <w:sz w:val="28"/>
          <w:szCs w:val="28"/>
          <w:rtl w:val="0"/>
        </w:rPr>
        <w:t xml:space="preserve">an immune-mediated response to infection with specific strains of group A streptococci</w:t>
      </w:r>
      <w:r w:rsidDel="00000000" w:rsidR="00000000" w:rsidRPr="00000000">
        <w:rPr>
          <w:sz w:val="28"/>
          <w:szCs w:val="28"/>
          <w:rtl w:val="0"/>
        </w:rPr>
        <w:t xml:space="preserve">, which have antigens that may cross-react with cardiac myosin and membrane protein. Antibodies produced against the streptococcal antigens cause inflammation in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heart as well as the joints and skin</w:t>
      </w:r>
      <w:r w:rsidDel="00000000" w:rsidR="00000000" w:rsidRPr="00000000">
        <w:rPr>
          <w:sz w:val="28"/>
          <w:szCs w:val="28"/>
          <w:rtl w:val="0"/>
        </w:rPr>
        <w:t xml:space="preserve"> . 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</w:t>
      </w:r>
    </w:p>
    <w:tbl>
      <w:tblPr>
        <w:tblStyle w:val="Table1"/>
        <w:tblW w:w="64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tblGridChange w:id="0">
          <w:tblGrid>
            <w:gridCol w:w="6487"/>
          </w:tblGrid>
        </w:tblGridChange>
      </w:tblGrid>
      <w:tr>
        <w:trPr>
          <w:trHeight w:val="4520" w:hRule="atLeast"/>
        </w:trPr>
        <w:tc>
          <w:tcPr/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Table 1: criteria for the diagnosis of rheumatic fever 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26" style="position:absolute;left:0;text-align:left;margin-left:4.65pt;margin-top:21.4pt;width:305.25pt;height:201.75pt;z-index:251659264" wrapcoords="-53 0 -53 21520 21600 21520 21600 0 -53 0" type="#_x0000_t75">
                  <v:imagedata r:id="rId1" o:title=""/>
                  <w10:wrap type="tight"/>
                </v:shape>
                <o:OLEObject DrawAspect="Content" r:id="rId2" ObjectID="_1631951404" ProgID="PBrush" ShapeID="_x0000_s1026" Type="Embed"/>
              </w:pic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Clinical features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1-Acute rheumatic fever is a multisystem disorder that usually presents with </w:t>
      </w:r>
      <w:r w:rsidDel="00000000" w:rsidR="00000000" w:rsidRPr="00000000">
        <w:rPr>
          <w:b w:val="1"/>
          <w:sz w:val="28"/>
          <w:szCs w:val="28"/>
          <w:rtl w:val="0"/>
        </w:rPr>
        <w:t xml:space="preserve">fever</w:t>
      </w:r>
      <w:r w:rsidDel="00000000" w:rsidR="00000000" w:rsidRPr="00000000">
        <w:rPr>
          <w:sz w:val="28"/>
          <w:szCs w:val="28"/>
          <w:rtl w:val="0"/>
        </w:rPr>
        <w:t xml:space="preserve">,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joint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pain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rtl w:val="0"/>
        </w:rPr>
        <w:t xml:space="preserve">2–6 weeks after an episode of streptococcal pharyngitis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2-The presence of either two </w:t>
      </w:r>
      <w:r w:rsidDel="00000000" w:rsidR="00000000" w:rsidRPr="00000000">
        <w:rPr>
          <w:b w:val="1"/>
          <w:sz w:val="28"/>
          <w:szCs w:val="28"/>
          <w:rtl w:val="0"/>
        </w:rPr>
        <w:t xml:space="preserve">major criteria </w:t>
      </w:r>
      <w:r w:rsidDel="00000000" w:rsidR="00000000" w:rsidRPr="00000000">
        <w:rPr>
          <w:sz w:val="28"/>
          <w:szCs w:val="28"/>
          <w:rtl w:val="0"/>
        </w:rPr>
        <w:t xml:space="preserve">or one major and two </w:t>
      </w:r>
      <w:r w:rsidDel="00000000" w:rsidR="00000000" w:rsidRPr="00000000">
        <w:rPr>
          <w:b w:val="1"/>
          <w:sz w:val="28"/>
          <w:szCs w:val="28"/>
          <w:rtl w:val="0"/>
        </w:rPr>
        <w:t xml:space="preserve">minor criteria</w:t>
      </w:r>
      <w:r w:rsidDel="00000000" w:rsidR="00000000" w:rsidRPr="00000000">
        <w:rPr>
          <w:sz w:val="28"/>
          <w:szCs w:val="28"/>
          <w:rtl w:val="0"/>
        </w:rPr>
        <w:t xml:space="preserve">, along with evidence of preceding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streptococcal infection</w:t>
      </w:r>
      <w:r w:rsidDel="00000000" w:rsidR="00000000" w:rsidRPr="00000000">
        <w:rPr>
          <w:sz w:val="28"/>
          <w:szCs w:val="28"/>
          <w:rtl w:val="0"/>
        </w:rPr>
        <w:t xml:space="preserve">, confirm a diagnosis of acute rheumatic fever.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[Streptococcal antibody tests, such as the antistreptolysin O (</w:t>
      </w:r>
      <w:r w:rsidDel="00000000" w:rsidR="00000000" w:rsidRPr="00000000">
        <w:rPr>
          <w:b w:val="1"/>
          <w:sz w:val="28"/>
          <w:szCs w:val="28"/>
          <w:rtl w:val="0"/>
        </w:rPr>
        <w:t xml:space="preserve">ASO</w:t>
      </w:r>
      <w:r w:rsidDel="00000000" w:rsidR="00000000" w:rsidRPr="00000000">
        <w:rPr>
          <w:sz w:val="28"/>
          <w:szCs w:val="28"/>
          <w:rtl w:val="0"/>
        </w:rPr>
        <w:t xml:space="preserve">) titer, are the most reliable laboratory evidence of prior infection].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Management of the acute attack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1-A single dose of benzyl penicillin 1.2 million U i.m. or oral phenoxymethyl penicillin for 10 days should be given on diagnosis to eliminate any residual streptococcal infection. If the patient is penicillin-allergic, erythromycin or a cephalosporin can be used. 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</w:t>
      </w:r>
      <w:r w:rsidDel="00000000" w:rsidR="00000000" w:rsidRPr="00000000">
        <w:rPr>
          <w:b w:val="1"/>
          <w:sz w:val="28"/>
          <w:szCs w:val="28"/>
          <w:rtl w:val="0"/>
        </w:rPr>
        <w:t xml:space="preserve">Bed rest is important</w:t>
      </w:r>
      <w:r w:rsidDel="00000000" w:rsidR="00000000" w:rsidRPr="00000000">
        <w:rPr>
          <w:sz w:val="28"/>
          <w:szCs w:val="28"/>
          <w:rtl w:val="0"/>
        </w:rPr>
        <w:t xml:space="preserve">, as it lessens joint pain and reduces cardiac workload.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</w:t>
      </w:r>
      <w:r w:rsidDel="00000000" w:rsidR="00000000" w:rsidRPr="00000000">
        <w:rPr>
          <w:b w:val="1"/>
          <w:sz w:val="28"/>
          <w:szCs w:val="28"/>
          <w:rtl w:val="0"/>
        </w:rPr>
        <w:t xml:space="preserve">Aspirin: </w:t>
      </w:r>
      <w:r w:rsidDel="00000000" w:rsidR="00000000" w:rsidRPr="00000000">
        <w:rPr>
          <w:sz w:val="28"/>
          <w:szCs w:val="28"/>
          <w:rtl w:val="0"/>
        </w:rPr>
        <w:t xml:space="preserve">This will usually relieve the symptoms of arthritis rapidly. The usual dose of aspirin is 100 mg/kg/24 hr divided qid PO for 3-5 days, followed by 75 mg/kg/24 hr divided qid PO for 4 wk.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4-Patients with carditis and cardiomegaly or congestive heart failure should receive </w:t>
      </w:r>
      <w:r w:rsidDel="00000000" w:rsidR="00000000" w:rsidRPr="00000000">
        <w:rPr>
          <w:b w:val="1"/>
          <w:sz w:val="28"/>
          <w:szCs w:val="28"/>
          <w:rtl w:val="0"/>
        </w:rPr>
        <w:t xml:space="preserve">corticosteroids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usual dose of prednisone is 2 mg/kg/24 hr in 4 divided doses for 2-3 wk followed by a tapering of the dose that reduces the dose by 5 mg/24 hr every 2-3 days.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5-Supportive therapies for patients with moderate-to-severe carditis include </w:t>
      </w:r>
      <w:r w:rsidDel="00000000" w:rsidR="00000000" w:rsidRPr="00000000">
        <w:rPr>
          <w:b w:val="1"/>
          <w:sz w:val="28"/>
          <w:szCs w:val="28"/>
          <w:rtl w:val="0"/>
        </w:rPr>
        <w:t xml:space="preserve">digoxin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rtl w:val="0"/>
        </w:rPr>
        <w:t xml:space="preserve">fluid</w:t>
      </w:r>
      <w:r w:rsidDel="00000000" w:rsidR="00000000" w:rsidRPr="00000000">
        <w:rPr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salt restriction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rtl w:val="0"/>
        </w:rPr>
        <w:t xml:space="preserve">diuretics</w:t>
      </w:r>
      <w:r w:rsidDel="00000000" w:rsidR="00000000" w:rsidRPr="00000000">
        <w:rPr>
          <w:sz w:val="28"/>
          <w:szCs w:val="28"/>
          <w:rtl w:val="0"/>
        </w:rPr>
        <w:t xml:space="preserve">,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oxygen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34.0" w:type="dxa"/>
        <w:jc w:val="center"/>
        <w:tblLayout w:type="fixed"/>
        <w:tblLook w:val="0400"/>
      </w:tblPr>
      <w:tblGrid>
        <w:gridCol w:w="9334"/>
        <w:tblGridChange w:id="0">
          <w:tblGrid>
            <w:gridCol w:w="9334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both"/>
              <w:rPr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both"/>
              <w:rPr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0"/>
              </w:rPr>
              <w:t xml:space="preserve">2-Viral Hepatitis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Etiology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1-There are six primary hepatitis viruses: Hepatitis A virus (HAV), Hepatitis B virus (HBV), Hepatitis C virus (HCV), Hepatitis D virus (HDV), Hepatitis E virus (HEV) and Hepatitis G virus (HGV)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2-They differ in their transmission, severity, likelihood of persistence, and subsequent risk of hepatocellular carcinoma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35"/>
              <w:gridCol w:w="916"/>
              <w:gridCol w:w="1624"/>
              <w:gridCol w:w="1531"/>
              <w:gridCol w:w="1041"/>
              <w:gridCol w:w="916"/>
              <w:gridCol w:w="1461"/>
              <w:tblGridChange w:id="0">
                <w:tblGrid>
                  <w:gridCol w:w="1835"/>
                  <w:gridCol w:w="916"/>
                  <w:gridCol w:w="1624"/>
                  <w:gridCol w:w="1531"/>
                  <w:gridCol w:w="1041"/>
                  <w:gridCol w:w="916"/>
                  <w:gridCol w:w="1461"/>
                </w:tblGrid>
              </w:tblGridChange>
            </w:tblGrid>
            <w:tr>
              <w:trPr>
                <w:trHeight w:val="320" w:hRule="atLeast"/>
              </w:trPr>
              <w:tc>
                <w:tcPr/>
                <w:p w:rsidR="00000000" w:rsidDel="00000000" w:rsidP="00000000" w:rsidRDefault="00000000" w:rsidRPr="00000000" w14:paraId="00000030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HAV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HBV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HCV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HDV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HEV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HGV</w:t>
                  </w:r>
                </w:p>
              </w:tc>
            </w:tr>
            <w:tr>
              <w:trPr>
                <w:trHeight w:val="920" w:hRule="atLeast"/>
              </w:trPr>
              <w:tc>
                <w:tcPr/>
                <w:p w:rsidR="00000000" w:rsidDel="00000000" w:rsidP="00000000" w:rsidRDefault="00000000" w:rsidRPr="00000000" w14:paraId="00000037">
                  <w:pPr>
                    <w:contextualSpacing w:val="0"/>
                    <w:jc w:val="both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Transmission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Fecal-oral</w:t>
                  </w:r>
                </w:p>
                <w:p w:rsidR="00000000" w:rsidDel="00000000" w:rsidP="00000000" w:rsidRDefault="00000000" w:rsidRPr="00000000" w14:paraId="00000039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Transfusion, sexual,</w:t>
                  </w:r>
                </w:p>
                <w:p w:rsidR="00000000" w:rsidDel="00000000" w:rsidP="00000000" w:rsidRDefault="00000000" w:rsidRPr="00000000" w14:paraId="0000003B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perinatal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Parenteral,</w:t>
                  </w:r>
                </w:p>
                <w:p w:rsidR="00000000" w:rsidDel="00000000" w:rsidP="00000000" w:rsidRDefault="00000000" w:rsidRPr="00000000" w14:paraId="0000003D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transfusion,</w:t>
                  </w:r>
                </w:p>
                <w:p w:rsidR="00000000" w:rsidDel="00000000" w:rsidP="00000000" w:rsidRDefault="00000000" w:rsidRPr="00000000" w14:paraId="0000003E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perinatal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Similar to HBV</w:t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Fecal-oral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Parenteral</w:t>
                  </w:r>
                </w:p>
                <w:p w:rsidR="00000000" w:rsidDel="00000000" w:rsidP="00000000" w:rsidRDefault="00000000" w:rsidRPr="00000000" w14:paraId="00000042">
                  <w:pPr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transfusion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The most important risk factor for acquisition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HBV in children is perinatal exposure to infected mother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In most cases, transmission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occurred at the time of delivery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; virus contained in amniotic fluid or in maternal blood may be the source. However less commonly intrauterine infection occurred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HBV and HCV cause chronic infection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which may lead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cirrhosis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and is a significant risk factor for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hepatocellular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carcinoma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Clinical Manifestations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Asymptomatic or mild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nonspecific illness without icterus (jaundice)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is common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with HAV, HBV, and HCV,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especially in young children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2-The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preicteric phase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which lasts approximately 1 week, is characterized by headache, anorexia, malaise, abdominal discomfort, nausea, and vomiting and usually precedes the onset of clinically detectable disease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Jaundice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and tender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hepatomegaly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are the most common physical findings and are characteristic of the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icteric phase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Hepatic enzymes may increase 15- to 20-fold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4-Resolution of the hyperbilirubinemia and normalization of the transaminases may take 6 to 8 weeks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Complications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1-Most cases of acute viral hepatitis resolve without specific therapy, with less than 0.1% of cases progressing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fulminant hepatic necrosis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which is associated with a high mortality rate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HAV and HEV cause acute infection only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HBV, HCV, and HDV may persist as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chronic infection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with chronic inflammation, fibrosis, and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cirrhosis and the associated risk of hepatocellular carcinoma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Diagnosis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diagnosis of viral hepatitis is confirmed by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serologic testing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Treatment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1-The treatment of acute hepatitis  (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except HCV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) is largely supportive and involves rest, hydration, and adequate nutrition. Hospitalization is indicated for severe cases 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Chronic HBV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infection may be treated with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interferon alfa-2b or lamivudine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and HCV may be treated with interferon alfa usually in combination with Ribavirin</w:t>
            </w:r>
            <w:r w:rsidDel="00000000" w:rsidR="00000000" w:rsidRPr="00000000">
              <w:rPr>
                <w:color w:val="000000"/>
                <w:sz w:val="28"/>
                <w:szCs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Respiratory Disorders                                  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both"/>
              <w:rPr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0"/>
              </w:rPr>
              <w:t xml:space="preserve">1-Cystic Fibrosis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Background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1-Cystic fibrosis (CF) is an autosomal recessive multisystem disorder caused by mutations in the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cystic fibrosis transmembrane regulator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(CFTR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 gene.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 CFTR is important for the proper movement of salt and water across epithelial cell membranes especially in the airways, liver, and pancreas . The term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cystic fibrosis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arises from the fibrotic scar tissue that replaces the destroyed pancreas 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Pathophysiology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A-Pulmonary System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1-In CF, there are reduced chloride secretion with excessive sodium resorption which lead to dehydration of the airway lining leading to airway obstruction. This, in turn, leads to colonization with bacteria especially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Staphylococcus aureus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Pseudomonas aeruginosa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2-Chronic lung disease is a hallmark of CF, leading to death in 90% of patients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CF patients will usually experience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chronic respiratory infections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B-Gastrointestinal Involvement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 Approximately 10% of patients with CF are born with intestinal obstruction caused by inspissated meconium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meconium ileus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). In older patients, intestinal obstruction may result from thick inspissated mucus in the intestinal lumen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C-Hepatic Involvement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1-In patients with CF, there is reduction in water and sodium movement into the bile.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resulting decrease in the volume and flow of bile leads to stasis and obstruction of the biliary tree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With chronic obstruction, this leads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biliary cirrhosis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D-Pancreatic Involvement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1-The obstruction of the pancreatic ducts result in the inability to excrete pancreatic enzymes into the intestine. This leads to malabsorption of proteins, sugars (to a lesser extent), and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especially fat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Fat malabsorption manifests clinically as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steatorrhea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(large foul-smelling stools),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deficiencies of fat-soluble vitamins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(A, D, E, and K), and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failure to thrive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E-Sweat Gland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 the sweat duct, CFTR reabsorbs chloride from sweat. Dysfunctional CFTR results in 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nearly fivefold elevation in sweat chloride concentrations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This is the principal laboratory criterion for diagnosis of CF (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sweat chloride test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 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Diagnosis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CF is most commonly diagnosed on the basis of typical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signs and symptoms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and an abnormal sweat chloride concentration (&gt;60 mEq/L) (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sweat chloride test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Treatment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treatment of CF is multifactorial, but it is primarily directed toward the gastrointestinal and pulmonary complications.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A-Gastrointestinal System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Pancreatic enzyme replacement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(lipase, protease, and amylase) is the mainstay of gastrointestinal therapy .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Fat-soluble vitamins (A, D, E, and K) supplementation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usually required in pancreatic insufficiency.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3-The use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ursodeoxycholic acid (UDCA)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may improves bile flow, prevent obstruction and slow progression of liver disease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B-Treatment of Cystic Fibrosis Airway Disease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Treatment of CF airway disease involves the use of medications and techniques to mobilize pulmonary secretions, and antibiotics to manage infection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1-Mucociliary Clearance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567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A-Physical Therapy: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Airway clearance can be performed using various techniques. These techniques are recommended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 a daily basis to help mobilize secretions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567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67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B-Mucolytic Therapy: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Sputum viscosity is increased by the large quantities of extracellular DNA that result from chronic airway inflammation and degradation of neutrophils.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Inhaled recombinant human deoxyribonuclease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(rhDNase, dornase alpha) cleaves extracellular DNA in sputum.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567" w:hanging="567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567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C-Airway Hydration Therapies 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Inhalation of hypertonic saline  rehydrates the airways through osmotic flow of water.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567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567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D-Bronchodilators: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β-Agonists keep airways open and facilitate airway clearance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2-Antibiotics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284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1-Antibiotics are used to treat lung infection.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Typical regimens for severe infections include an antipseudomonal β-lactam plus an aminoglycoside for added synergy and delay of resistance development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284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284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Fluoroquinolone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use is common among CF patients infected with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P. aeruginosa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even in children.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284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Chronic maintenance antibiotic therapy may be used in patients with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Pseudomonas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colonization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in an attempt to prevent bacterial overgrowth.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Inhaled tobramycin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has been studied the most extensively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Pharmacokinetic Considerations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CF patients have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larger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volumes of distribution of many antibiotics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and also have an enhanced total body clearance. As a result of these pharmacokinetic changes,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higher doses of antibiotics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(e.g. aminoglycosides, and β-lactam antibiotics) are needed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both"/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b0f0"/>
                <w:sz w:val="28"/>
                <w:szCs w:val="28"/>
                <w:rtl w:val="0"/>
              </w:rPr>
              <w:t xml:space="preserve">Lung transplantation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Lung transplantation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is currently the only definitive treatment for advanced cystic fibrosis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Prognosis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longevity of patients with cystic fibrosis is increasing, and the median survival age is over 35 years. Death occurs  mostly from pulmonary complications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Endocrinology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both"/>
              <w:rPr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0"/>
              </w:rPr>
              <w:t xml:space="preserve">1-Diabetic ketoacidosis (DKA)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Arterial pH &lt;7.30, bicarbonate &lt;15 meq/L, glucose &gt;250 mg/dL, and Urinary ketones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2-DKA is a major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medical emergency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and remains a serious cause of morbidity, principally in people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with type 1 diabetes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More common in type 1 DM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but can occur in type 2 DM)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3-A significant number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newly diagnosed diabetic children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present with DKA. In children with known diabetes, DKA occurs in patient who omit insulin doses or who do not successfully manage an intercurrent illness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Risk Factors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Omission of insulin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the most common precipitant of DKA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Infections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acute medical illnesses, and stress of recent surgical procedures can contribute to the development of DKA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Pathophysiology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1-The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hyperglycaemia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causes a profound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osmotic diuresis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leading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dehydration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hyperosmolarity, and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electrolyte loss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particularly of sodium and potassium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2-Owing to increased lipolysis and decreased lipogenesis, free fatty acids are converted to ketone bodies and lead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metabolic acidosis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Electrolyte abnormalities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occur through a loss of electrolytes in the urine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 addition, The resulting metabolic acidosis causes efflux of potassium from cells, results in intracellular potassium depletion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Clinical Presentation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1-Patients with DKA present initially with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polyuria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polydipsia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nausea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and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vomiting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Abdominal pain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occurs frequently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2-Respiratory compensation for acidosis results in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tachypnea with deep (Küssmaul) respirations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The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fruity odor of acetone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frequently can be detected on the patient’s breath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3-An altered mental status can occur, ranging from disorientation to coma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Management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1-DKA is 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medical emergency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which should be treated in hospital. The principal components of treatment are :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• The administration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short-acting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(soluble) insulin , rout and dose?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Fluid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replacement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Potassium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replacement, dose and rout of administration? Role of K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+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administration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The administration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antibiotics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if infection is present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Complications???</w:t>
            </w:r>
          </w:p>
        </w:tc>
      </w:tr>
    </w:tbl>
    <w:p w:rsidR="00000000" w:rsidDel="00000000" w:rsidP="00000000" w:rsidRDefault="00000000" w:rsidRPr="00000000" w14:paraId="000000BD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B585A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B58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